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2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LG Oberlandesgericht Brandenburg an der Havel, Infrastrukturmaßnahmen für innovative Sitzungssaalausstattung, Starkstrom- und informationstechnische 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arkstrom- und informationstechnische 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